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206673E0" w:rsidR="00BC5D9D" w:rsidRPr="000F002F"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0F002F">
        <w:rPr>
          <w:rFonts w:ascii="Times New Roman" w:hAnsi="Times New Roman"/>
          <w:b/>
          <w:bCs/>
          <w:color w:val="339966"/>
          <w:spacing w:val="-3"/>
          <w:sz w:val="24"/>
          <w:szCs w:val="24"/>
        </w:rPr>
        <w:t>APPENDIX</w:t>
      </w:r>
      <w:r w:rsidRPr="000F002F">
        <w:rPr>
          <w:rFonts w:ascii="Times New Roman" w:hAnsi="Times New Roman"/>
          <w:bCs/>
          <w:color w:val="339966"/>
          <w:sz w:val="24"/>
          <w:szCs w:val="24"/>
        </w:rPr>
        <w:t xml:space="preserve"> </w:t>
      </w:r>
      <w:r w:rsidR="008B1AE3" w:rsidRPr="000F002F">
        <w:rPr>
          <w:rFonts w:ascii="Times New Roman" w:hAnsi="Times New Roman"/>
          <w:b/>
          <w:bCs/>
          <w:color w:val="339966"/>
          <w:spacing w:val="-3"/>
          <w:sz w:val="24"/>
          <w:szCs w:val="24"/>
        </w:rPr>
        <w:t>3.20</w:t>
      </w:r>
      <w:r w:rsidR="000F002F" w:rsidRPr="000F002F">
        <w:rPr>
          <w:rFonts w:ascii="Times New Roman" w:hAnsi="Times New Roman"/>
          <w:b/>
          <w:bCs/>
          <w:color w:val="339966"/>
          <w:spacing w:val="-3"/>
          <w:sz w:val="24"/>
          <w:szCs w:val="24"/>
        </w:rPr>
        <w:t>J</w:t>
      </w:r>
      <w:r w:rsidRPr="000F002F">
        <w:rPr>
          <w:rFonts w:ascii="Times New Roman" w:hAnsi="Times New Roman"/>
          <w:b/>
          <w:bCs/>
          <w:color w:val="339966"/>
          <w:spacing w:val="-3"/>
          <w:sz w:val="24"/>
          <w:szCs w:val="24"/>
        </w:rPr>
        <w:tab/>
      </w:r>
      <w:r w:rsidR="000F002F" w:rsidRPr="000F002F">
        <w:rPr>
          <w:rFonts w:ascii="Times New Roman" w:hAnsi="Times New Roman"/>
          <w:b/>
          <w:bCs/>
          <w:color w:val="339966"/>
          <w:spacing w:val="-3"/>
          <w:sz w:val="24"/>
          <w:szCs w:val="24"/>
        </w:rPr>
        <w:t>QUARTERLY UPDATES OF MANPOWER INPUT</w:t>
      </w:r>
    </w:p>
    <w:p w14:paraId="79B9BFF0" w14:textId="20FB9961" w:rsidR="00BC5D9D" w:rsidRPr="000F002F" w:rsidRDefault="00BC5D9D" w:rsidP="00403482">
      <w:pPr>
        <w:tabs>
          <w:tab w:val="center" w:pos="5160"/>
        </w:tabs>
        <w:ind w:left="-720" w:right="-1246" w:firstLine="1440"/>
        <w:rPr>
          <w:b/>
          <w:color w:val="339966"/>
          <w:sz w:val="24"/>
          <w:szCs w:val="24"/>
        </w:rPr>
      </w:pPr>
      <w:r w:rsidRPr="000F002F">
        <w:rPr>
          <w:bCs/>
          <w:color w:val="339966"/>
          <w:sz w:val="24"/>
          <w:szCs w:val="24"/>
        </w:rPr>
        <w:tab/>
      </w:r>
      <w:r w:rsidR="00CF10A6" w:rsidRPr="000F002F">
        <w:rPr>
          <w:b/>
          <w:color w:val="339966"/>
          <w:sz w:val="24"/>
          <w:szCs w:val="24"/>
        </w:rPr>
        <w:tab/>
      </w:r>
    </w:p>
    <w:p w14:paraId="325A3260"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Manpower Input to be Updated</w:t>
      </w:r>
    </w:p>
    <w:p w14:paraId="494B5A6D" w14:textId="37C6CC75" w:rsidR="000F002F" w:rsidRPr="002D7BCF" w:rsidRDefault="000F002F" w:rsidP="000F002F">
      <w:pPr>
        <w:pStyle w:val="aff6"/>
        <w:widowControl w:val="0"/>
        <w:numPr>
          <w:ilvl w:val="1"/>
          <w:numId w:val="48"/>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 xml:space="preserve">To avoid confusion, the “reporting month” and “reporting quarter” used in the following paragraphs shall have the same meaning as those used in Section </w:t>
      </w:r>
      <w:r w:rsidRPr="002D7BCF">
        <w:rPr>
          <w:color w:val="339966"/>
          <w:sz w:val="24"/>
          <w:szCs w:val="24"/>
          <w:lang w:eastAsia="zh-HK"/>
        </w:rPr>
        <w:t>3.</w:t>
      </w:r>
      <w:r w:rsidR="0032672C" w:rsidRPr="002D7BCF">
        <w:rPr>
          <w:color w:val="339966"/>
          <w:sz w:val="24"/>
          <w:szCs w:val="24"/>
          <w:lang w:eastAsia="zh-HK"/>
        </w:rPr>
        <w:t>10.1(c)</w:t>
      </w:r>
      <w:r w:rsidRPr="002D7BCF">
        <w:rPr>
          <w:color w:val="339966"/>
          <w:sz w:val="24"/>
          <w:szCs w:val="24"/>
          <w:lang w:eastAsia="zh-HK"/>
        </w:rPr>
        <w:t xml:space="preserve"> of the </w:t>
      </w:r>
      <w:r w:rsidR="0032672C" w:rsidRPr="002D7BCF">
        <w:rPr>
          <w:color w:val="339966"/>
          <w:sz w:val="24"/>
          <w:szCs w:val="24"/>
          <w:lang w:eastAsia="zh-HK"/>
        </w:rPr>
        <w:t>EACSB Handbook</w:t>
      </w:r>
      <w:r w:rsidRPr="002D7BCF">
        <w:rPr>
          <w:color w:val="339966"/>
          <w:sz w:val="24"/>
          <w:szCs w:val="24"/>
          <w:lang w:eastAsia="zh-HK"/>
        </w:rPr>
        <w:t>.</w:t>
      </w:r>
    </w:p>
    <w:p w14:paraId="6AD8E15C" w14:textId="77777777" w:rsidR="000F002F" w:rsidRPr="000F002F" w:rsidRDefault="000F002F" w:rsidP="000F002F">
      <w:pPr>
        <w:pStyle w:val="aff6"/>
        <w:widowControl w:val="0"/>
        <w:numPr>
          <w:ilvl w:val="1"/>
          <w:numId w:val="48"/>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bookmarkStart w:id="0" w:name="_GoBack"/>
      <w:bookmarkEnd w:id="0"/>
      <w:r w:rsidRPr="000F002F">
        <w:rPr>
          <w:color w:val="339966"/>
          <w:sz w:val="24"/>
          <w:szCs w:val="24"/>
          <w:lang w:eastAsia="zh-HK"/>
        </w:rPr>
        <w:t>The consultants are required to submit curriculum vitae (CV) for the key staff proposed in their Technical and Fee (T&amp;F) Proposals.  To demonstrate their adherence to the staffing proposal, the consultants are required to submit quarterly updates on the manpower input for each named staff at professional category or above included in their T&amp;F Proposals.  The staff who replaces one of the named staff shall also be a named staff and its manpower input shall be provided for monitoring when staff re-deployment is required.  For the unnamed staff, their manpower input shall be grouped together under each staff category.</w:t>
      </w:r>
    </w:p>
    <w:p w14:paraId="1D4A777E" w14:textId="77777777" w:rsidR="000F002F" w:rsidRPr="000F002F" w:rsidRDefault="000F002F" w:rsidP="000F002F">
      <w:pPr>
        <w:pStyle w:val="aff6"/>
        <w:widowControl w:val="0"/>
        <w:numPr>
          <w:ilvl w:val="1"/>
          <w:numId w:val="48"/>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In the quarterly updates, the following information on the manpower input as at end of the reporting quarter shall be included:</w:t>
      </w:r>
    </w:p>
    <w:p w14:paraId="4CD6D3FF" w14:textId="77777777" w:rsidR="000F002F" w:rsidRPr="000F002F" w:rsidRDefault="000F002F" w:rsidP="000F002F">
      <w:pPr>
        <w:numPr>
          <w:ilvl w:val="5"/>
          <w:numId w:val="43"/>
        </w:numPr>
        <w:autoSpaceDE/>
        <w:autoSpaceDN/>
        <w:snapToGrid w:val="0"/>
        <w:spacing w:before="240" w:after="240" w:line="360" w:lineRule="exact"/>
        <w:jc w:val="both"/>
        <w:rPr>
          <w:color w:val="339966"/>
          <w:sz w:val="24"/>
          <w:szCs w:val="24"/>
        </w:rPr>
      </w:pPr>
      <w:r w:rsidRPr="000F002F">
        <w:rPr>
          <w:color w:val="339966"/>
          <w:sz w:val="24"/>
          <w:szCs w:val="24"/>
        </w:rPr>
        <w:t>the manpower input of both the named and unnamed staff deployed in the reporting quarter; and</w:t>
      </w:r>
    </w:p>
    <w:p w14:paraId="688FB274" w14:textId="77777777" w:rsidR="000F002F" w:rsidRPr="000F002F" w:rsidRDefault="000F002F" w:rsidP="000F002F">
      <w:pPr>
        <w:numPr>
          <w:ilvl w:val="5"/>
          <w:numId w:val="42"/>
        </w:numPr>
        <w:autoSpaceDE/>
        <w:autoSpaceDN/>
        <w:snapToGrid w:val="0"/>
        <w:spacing w:before="240" w:after="240" w:line="360" w:lineRule="exact"/>
        <w:jc w:val="both"/>
        <w:rPr>
          <w:color w:val="339966"/>
          <w:sz w:val="24"/>
          <w:szCs w:val="24"/>
        </w:rPr>
      </w:pPr>
      <w:r w:rsidRPr="000F002F">
        <w:rPr>
          <w:color w:val="339966"/>
          <w:sz w:val="24"/>
          <w:szCs w:val="24"/>
        </w:rPr>
        <w:t xml:space="preserve">the manpower input of </w:t>
      </w:r>
      <w:r w:rsidRPr="000F002F">
        <w:rPr>
          <w:color w:val="339966"/>
          <w:sz w:val="24"/>
          <w:szCs w:val="24"/>
          <w:lang w:eastAsia="zh-HK"/>
        </w:rPr>
        <w:t xml:space="preserve">both the </w:t>
      </w:r>
      <w:r w:rsidRPr="000F002F">
        <w:rPr>
          <w:color w:val="339966"/>
          <w:sz w:val="24"/>
          <w:szCs w:val="24"/>
        </w:rPr>
        <w:t xml:space="preserve">named </w:t>
      </w:r>
      <w:r w:rsidRPr="000F002F">
        <w:rPr>
          <w:color w:val="339966"/>
          <w:sz w:val="24"/>
          <w:szCs w:val="24"/>
          <w:lang w:eastAsia="zh-HK"/>
        </w:rPr>
        <w:t xml:space="preserve">and unnamed </w:t>
      </w:r>
      <w:r w:rsidRPr="000F002F">
        <w:rPr>
          <w:color w:val="339966"/>
          <w:sz w:val="24"/>
          <w:szCs w:val="24"/>
        </w:rPr>
        <w:t>staff to be deployed for the remaining duration of the consultancy.</w:t>
      </w:r>
    </w:p>
    <w:p w14:paraId="6BBDFDA8"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Quarterly Updates of Manpower Input for the Consultancies</w:t>
      </w:r>
    </w:p>
    <w:p w14:paraId="72B8F6FC"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Public Works Consultants Resources Allocation Register (PWCRAR) has been programmed to generate a quarterly update template based on the manpower input in the previous reporting quarter under each consultancy to facilitate the quarterly updating exercise.  The procuring departments should download and send the template to consultants to facilitate the consultants to prepare the next quarterly updates.  The consultants shall submit to the procuring departments quarterly updates by the 5th of every reporting month.  The PWCRAR allows the consultants to submit quarterly updates direct to the PWCRAR through registered email accounts.  When such function is not available, the consultants shall submit the quarterly updates to the respective reporting officer of the procuring departments.</w:t>
      </w:r>
    </w:p>
    <w:p w14:paraId="3CE8238C"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Upon receipt of the quarterly updates, the procuring departments shall check the updates and liaise with the consultants for clarifications and amendments if necessary.  If the procuring departments consider that the quarterly updates submitted by the consultants are generally in order, the procuring departments shall upload/manually input the manpower data into the PWCRAR.</w:t>
      </w:r>
    </w:p>
    <w:p w14:paraId="30A89165"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 xml:space="preserve">After uploading the updated manpower input but before taking interim snapshots as mentioned in the paragraph below, the procuring departments can make use of the PWCRAR to conduct </w:t>
      </w:r>
      <w:r w:rsidRPr="000F002F">
        <w:rPr>
          <w:color w:val="339966"/>
          <w:sz w:val="24"/>
          <w:szCs w:val="24"/>
          <w:lang w:eastAsia="zh-HK"/>
        </w:rPr>
        <w:lastRenderedPageBreak/>
        <w:t>preliminary checking on the quarterly updates by comparing them with the manpower input data in the final snapshots of the last reporting quarters.  If necessary, the procuring departments may send the preliminary checking results downloaded from the PWCRAR to the consultants for review and clarification if necessary.</w:t>
      </w:r>
    </w:p>
    <w:p w14:paraId="4DDE99DF"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PWCRAR will take interim snapshots at 00:00 on the 16th of every reporting month on the manpower input data that has been confirmed by the procuring departments as properly input in the system and generate checking reports on any overloading situations.  For performance appraisal purpose, the PWCRAR will determine the overloading situation based on the manpower input of the concerned staff under all on-going consultancy(ies), excluding those having commenced for more than 10 years.  If the manpower input updates in the PWCRAR have not been confirmed by the procuring departments before the interim snapshots are taken, the PWCRAR will copy the manpower input updates in final snapshots of the last reporting quarters to interim snapshots as if there is no further update to such manpower input.  The procuring departments shall send the checking reports to the consultants for review and clarification if necessary.</w:t>
      </w:r>
    </w:p>
    <w:p w14:paraId="6FC1D31B"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consultants shall liaise with the procuring departments if they want to amend the manpower input data in the checking reports as soon as possible, in any case before final snapshot is taken, or otherwise the consultants will be deemed to have no comment on the manpower input data in the checking reports.  Any amendments to the manpower input data in the checking reports shall be re-confirmed by the procuring departments before final snapshots are taken.</w:t>
      </w:r>
    </w:p>
    <w:p w14:paraId="79CC9D81"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PWCRAR will take final snapshots at 00:00 on the 23rd of every reporting month on the manpower input data that has been confirmed by the procuring departments and generate various types of reports.  The procuring departments shall send the checking reports to the consultants for retention/reference.  If any manpower input updates for an agreement in the PWCRAR have not been confirmed by the procuring departments before the final snapshots are taken, the PWCRAR will copy the manpower input updates in interim snapshots to final snapshots as if there is no further update to such manpower input.</w:t>
      </w:r>
    </w:p>
    <w:p w14:paraId="39C350E1"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manpower input in the final snapshots taken at 00:00 on the 23rd of every reporting month will be used for checking overloading situation in tender assessment of other consultancies.  In this connection, any proposed amendment to the manpower input in the final snapshots after the 23rd of the reporting month will only be considered under very exceptional circumstances.</w:t>
      </w:r>
    </w:p>
    <w:p w14:paraId="164DA024"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Existing Consultancies</w:t>
      </w:r>
    </w:p>
    <w:p w14:paraId="3B0530D6"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For the purpose of this Appendix, “existing consultancies” means signed consultancies and consultancies having Expression of Interest Submissions or T&amp;F Proposals (for one-stage procedure) invited before 3 December 2018.</w:t>
      </w:r>
    </w:p>
    <w:p w14:paraId="512F5E94"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 xml:space="preserve">The first manpower input updating for existing consultancies should follow the procedures as mentioned in paragraphs 1 &amp; 2 above, with the refinements in paragraph 3.3 to 3.4 below. </w:t>
      </w:r>
    </w:p>
    <w:p w14:paraId="214C2FA1"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lastRenderedPageBreak/>
        <w:t>Notwithstanding the last sentence of paragraph 1.2 above, manpower input updates of unnamed staff are not required for existing consultancies;</w:t>
      </w:r>
    </w:p>
    <w:p w14:paraId="02CC017E"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Notwithstanding paragraph 1.3 above, the following information on the manpower input as at end of the reporting quarter shall be included in the quarterly updates for existing consultancies:</w:t>
      </w:r>
    </w:p>
    <w:p w14:paraId="6761F59E" w14:textId="77777777" w:rsidR="000F002F" w:rsidRPr="000F002F" w:rsidRDefault="000F002F" w:rsidP="000F002F">
      <w:pPr>
        <w:numPr>
          <w:ilvl w:val="5"/>
          <w:numId w:val="45"/>
        </w:numPr>
        <w:autoSpaceDE/>
        <w:autoSpaceDN/>
        <w:snapToGrid w:val="0"/>
        <w:spacing w:before="240" w:after="240" w:line="360" w:lineRule="exact"/>
        <w:jc w:val="both"/>
        <w:rPr>
          <w:color w:val="339966"/>
          <w:sz w:val="24"/>
          <w:szCs w:val="24"/>
        </w:rPr>
      </w:pPr>
      <w:r w:rsidRPr="000F002F">
        <w:rPr>
          <w:color w:val="339966"/>
          <w:sz w:val="24"/>
          <w:szCs w:val="24"/>
        </w:rPr>
        <w:t xml:space="preserve">the manpower input of the named staff at professional category or above deployed in the reporting quarter; </w:t>
      </w:r>
    </w:p>
    <w:p w14:paraId="3418AD1B" w14:textId="77777777" w:rsidR="000F002F" w:rsidRPr="000F002F" w:rsidRDefault="000F002F" w:rsidP="000F002F">
      <w:pPr>
        <w:pStyle w:val="41"/>
        <w:keepNext w:val="0"/>
        <w:widowControl w:val="0"/>
        <w:numPr>
          <w:ilvl w:val="4"/>
          <w:numId w:val="42"/>
        </w:numPr>
        <w:autoSpaceDE/>
        <w:autoSpaceDN/>
        <w:snapToGrid w:val="0"/>
        <w:spacing w:beforeLines="50" w:before="120" w:after="180" w:line="360" w:lineRule="exact"/>
        <w:jc w:val="both"/>
        <w:rPr>
          <w:b w:val="0"/>
          <w:i w:val="0"/>
          <w:color w:val="339966"/>
          <w:sz w:val="24"/>
          <w:szCs w:val="24"/>
        </w:rPr>
      </w:pPr>
      <w:r w:rsidRPr="000F002F">
        <w:rPr>
          <w:b w:val="0"/>
          <w:i w:val="0"/>
          <w:color w:val="339966"/>
          <w:sz w:val="24"/>
          <w:szCs w:val="24"/>
        </w:rPr>
        <w:t xml:space="preserve">the manpower input of the named staff at professional category or above to be deployed for 1 year (for Feasibility Study or Investigation type of assignment) or 2 years (for Design and Construction or Investigation, Design and Construction type of assignment) in the future counting from the beginning of the respective reporting month; and </w:t>
      </w:r>
    </w:p>
    <w:p w14:paraId="31B5B535" w14:textId="77777777" w:rsidR="000F002F" w:rsidRPr="000F002F" w:rsidRDefault="000F002F" w:rsidP="000F002F">
      <w:pPr>
        <w:pStyle w:val="41"/>
        <w:keepNext w:val="0"/>
        <w:widowControl w:val="0"/>
        <w:numPr>
          <w:ilvl w:val="4"/>
          <w:numId w:val="42"/>
        </w:numPr>
        <w:autoSpaceDE/>
        <w:autoSpaceDN/>
        <w:snapToGrid w:val="0"/>
        <w:spacing w:beforeLines="50" w:before="120" w:after="180" w:line="360" w:lineRule="exact"/>
        <w:jc w:val="both"/>
        <w:rPr>
          <w:b w:val="0"/>
          <w:i w:val="0"/>
          <w:color w:val="339966"/>
          <w:sz w:val="24"/>
          <w:szCs w:val="24"/>
        </w:rPr>
      </w:pPr>
      <w:r w:rsidRPr="000F002F">
        <w:rPr>
          <w:b w:val="0"/>
          <w:i w:val="0"/>
          <w:color w:val="339966"/>
          <w:sz w:val="24"/>
          <w:szCs w:val="24"/>
        </w:rPr>
        <w:t xml:space="preserve">the manpower input of named staff deployed and to be deployed by the sub-consultants in (a) and (b) above respectively is to be excluded. </w:t>
      </w:r>
    </w:p>
    <w:p w14:paraId="22F58846"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Newly Awarded Consultancies</w:t>
      </w:r>
    </w:p>
    <w:p w14:paraId="4079ACFD"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For consultancies newly awarded within the reporting quarter, the procuring department shall update the consultancy status in the PWCRAR from a tendering stage to an on-going stage.  The update shall be carried out in a timely manner and in any case before the interim snapshot taken so that the latest status of the consultancy can be reflected in the interim snapshot.  In updating the PWCRAR, some basic information is required to be entered, such as the award date and the actual commencement date.  The procuring departments shall ensure that the same information shall be entered into the CNPIS in preparing the consultants performance reports for sake of consistency.</w:t>
      </w:r>
    </w:p>
    <w:p w14:paraId="16EE2B4C"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Upon the change of consultancy status from a tendering stage to an on-going stage in the PWCRAR, the manning schedule proposed by the consultant who wins the bid will become the “draft” manpower input for the newly awarded consultancy and be included in the quarterly update template.  The procuring department shall require the consultant to review and update the “draft” manpower input where appropriate in the first quarterly updating.  If update on the “draft” manpower input is not required or has not been confirmed by the procuring departments before the interim snapshot is taken, the updating procedures mentioned in paragraphs from 2.4 to 2.6 shall follow and the “draft” manpower input will be incorporated in the checking reports to be sent to the consultant.</w:t>
      </w:r>
    </w:p>
    <w:p w14:paraId="49FFBDBA"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Additional Services</w:t>
      </w:r>
    </w:p>
    <w:p w14:paraId="731E6E78"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The PWCRAR has a function to allow the procuring department to key in the manpower input for each additional service instructed under a consultancy to facilitate the monitoring of the total manpower input by the consultants.</w:t>
      </w:r>
    </w:p>
    <w:p w14:paraId="7180F2FE"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 xml:space="preserve">After an additional service is instructed, the procuring department should input the relevant data, such as the date of instruction and the agreed manpower input, of the additional service into the </w:t>
      </w:r>
      <w:r w:rsidRPr="000F002F">
        <w:rPr>
          <w:color w:val="339966"/>
          <w:sz w:val="24"/>
          <w:szCs w:val="24"/>
          <w:lang w:eastAsia="zh-HK"/>
        </w:rPr>
        <w:lastRenderedPageBreak/>
        <w:t>PWCRAR for record and monitoring of the overall manpower input to be provided by the consultants.</w:t>
      </w:r>
    </w:p>
    <w:p w14:paraId="7AF6EEC9"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In view that there may be difficulties for the consultants to divide and record manpower inputs for individual additional service under the consultancy, the consultants are normally not required to provide a separate return of manpower input for individual additional service in the quarterly updates. The additional manpower input could be included in the quarterly updates under such circumstances.</w:t>
      </w:r>
    </w:p>
    <w:p w14:paraId="6E33803D"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Consultancies Commenced for More Than 10 years</w:t>
      </w:r>
    </w:p>
    <w:p w14:paraId="48CBA1AA"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Consultants will not be required to submit quarterly updates on manpower input for on-going consultancies which have commenced for more than 10 years.  The last update is required for the reporting quarter within which the 10</w:t>
      </w:r>
      <w:r w:rsidRPr="000F002F">
        <w:rPr>
          <w:color w:val="339966"/>
          <w:sz w:val="24"/>
          <w:szCs w:val="24"/>
          <w:vertAlign w:val="superscript"/>
          <w:lang w:eastAsia="zh-HK"/>
        </w:rPr>
        <w:t>th</w:t>
      </w:r>
      <w:r w:rsidRPr="000F002F">
        <w:rPr>
          <w:color w:val="339966"/>
          <w:sz w:val="24"/>
          <w:szCs w:val="24"/>
          <w:lang w:eastAsia="zh-HK"/>
        </w:rPr>
        <w:t xml:space="preserve"> anniversary date falls.  Thereafter, the consultants will not be required to submit further quarterly update and the PWCRAR will not capture the manpower input of the consultancies concerned in the snapshots to be taken in the next reporting month and onward.</w:t>
      </w:r>
    </w:p>
    <w:p w14:paraId="4705DA30" w14:textId="77777777" w:rsidR="000F002F" w:rsidRPr="000F002F" w:rsidRDefault="000F002F" w:rsidP="000F002F">
      <w:pPr>
        <w:pStyle w:val="aff6"/>
        <w:widowControl w:val="0"/>
        <w:numPr>
          <w:ilvl w:val="0"/>
          <w:numId w:val="49"/>
        </w:numPr>
        <w:tabs>
          <w:tab w:val="left" w:pos="567"/>
        </w:tabs>
        <w:overflowPunct/>
        <w:autoSpaceDE/>
        <w:autoSpaceDN/>
        <w:snapToGrid w:val="0"/>
        <w:spacing w:beforeLines="100" w:before="240" w:afterLines="50" w:after="120" w:line="360" w:lineRule="exact"/>
        <w:ind w:leftChars="0" w:left="567" w:hanging="567"/>
        <w:jc w:val="both"/>
        <w:textAlignment w:val="auto"/>
        <w:rPr>
          <w:b/>
          <w:color w:val="339966"/>
          <w:sz w:val="24"/>
          <w:szCs w:val="24"/>
          <w:lang w:eastAsia="zh-HK"/>
        </w:rPr>
      </w:pPr>
      <w:r w:rsidRPr="000F002F">
        <w:rPr>
          <w:b/>
          <w:color w:val="339966"/>
          <w:sz w:val="24"/>
          <w:szCs w:val="24"/>
          <w:lang w:eastAsia="zh-HK"/>
        </w:rPr>
        <w:t>Completion of Consultancies</w:t>
      </w:r>
    </w:p>
    <w:p w14:paraId="46903EB3"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If the anticipated completion date of the on-going consultancy is advanced, the consultant may simply update the manpower input for the months beyond the revised completion date as zero.  However, if the anticipated completion date is deferred, the consultant shall insert additional columns in the spreadsheet and fill in the associated manpower input for the extended period accordingly.</w:t>
      </w:r>
    </w:p>
    <w:p w14:paraId="26C23C02" w14:textId="77777777" w:rsidR="000F002F" w:rsidRP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After the actual completion of the consultancy, the procuring departments shall require the consultants to submit the last update on manpower input for that reporting quarter.</w:t>
      </w:r>
    </w:p>
    <w:p w14:paraId="0484F08C" w14:textId="05F08F0A" w:rsidR="000F002F" w:rsidRDefault="000F002F" w:rsidP="000F002F">
      <w:pPr>
        <w:pStyle w:val="aff6"/>
        <w:widowControl w:val="0"/>
        <w:numPr>
          <w:ilvl w:val="1"/>
          <w:numId w:val="50"/>
        </w:numPr>
        <w:tabs>
          <w:tab w:val="left" w:pos="993"/>
        </w:tabs>
        <w:overflowPunct/>
        <w:autoSpaceDE/>
        <w:autoSpaceDN/>
        <w:snapToGrid w:val="0"/>
        <w:spacing w:beforeLines="50" w:before="120" w:afterLines="50" w:after="120" w:line="360" w:lineRule="exact"/>
        <w:ind w:leftChars="0"/>
        <w:jc w:val="both"/>
        <w:textAlignment w:val="auto"/>
        <w:rPr>
          <w:color w:val="339966"/>
          <w:sz w:val="24"/>
          <w:szCs w:val="24"/>
          <w:lang w:eastAsia="zh-HK"/>
        </w:rPr>
      </w:pPr>
      <w:r w:rsidRPr="000F002F">
        <w:rPr>
          <w:color w:val="339966"/>
          <w:sz w:val="24"/>
          <w:szCs w:val="24"/>
          <w:lang w:eastAsia="zh-HK"/>
        </w:rPr>
        <w:t>If the procuring department does not confirm the manpower input of the last update in the PWCRAR before the interim snapshot is taken, the updating procedures mentioned in paragraphs from 2.4 to 2.6 shall follow.  In this case, if the end date of the previously confirmed manpower input is earlier than the actual completion date, the PWCRAR will automatically input zero for the months in between in the interim and final snapshots.  On the other hand, if the end date of the previously confirmed manpower input is latter than the actual completion date, the PWCRAR will only include the manpower input up to the actual completion date in the interim and final snapshots.</w:t>
      </w:r>
    </w:p>
    <w:sectPr w:rsidR="000F002F"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6ED37" w14:textId="77777777" w:rsidR="00CD7E95" w:rsidRDefault="00CD7E95">
      <w:r>
        <w:separator/>
      </w:r>
    </w:p>
  </w:endnote>
  <w:endnote w:type="continuationSeparator" w:id="0">
    <w:p w14:paraId="0A1879A6" w14:textId="77777777" w:rsidR="00CD7E95" w:rsidRDefault="00CD7E95">
      <w:r>
        <w:continuationSeparator/>
      </w:r>
    </w:p>
  </w:endnote>
  <w:endnote w:type="continuationNotice" w:id="1">
    <w:p w14:paraId="52F27E06" w14:textId="77777777" w:rsidR="00CD7E95" w:rsidRDefault="00CD7E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CBC1" w14:textId="55338DA2" w:rsidR="005E4AE2" w:rsidRPr="00417A68" w:rsidRDefault="005E4AE2" w:rsidP="00417A68">
    <w:pPr>
      <w:pStyle w:val="a9"/>
      <w:jc w:val="center"/>
      <w:rPr>
        <w:color w:val="339966"/>
        <w:sz w:val="24"/>
        <w:szCs w:val="24"/>
      </w:rPr>
    </w:pPr>
    <w:r w:rsidRPr="00417A68">
      <w:rPr>
        <w:rFonts w:hint="eastAsia"/>
        <w:color w:val="339966"/>
        <w:sz w:val="24"/>
        <w:szCs w:val="24"/>
        <w:lang w:eastAsia="zh-HK"/>
      </w:rPr>
      <w:t>Revision No. 1</w:t>
    </w:r>
    <w:r w:rsidRPr="00417A68">
      <w:rPr>
        <w:color w:val="339966"/>
        <w:sz w:val="24"/>
        <w:szCs w:val="24"/>
        <w:lang w:eastAsia="zh-HK"/>
      </w:rPr>
      <w:t>6</w:t>
    </w:r>
    <w:r w:rsidRPr="00417A68">
      <w:rPr>
        <w:rFonts w:hint="eastAsia"/>
        <w:color w:val="339966"/>
        <w:sz w:val="24"/>
        <w:szCs w:val="24"/>
        <w:lang w:eastAsia="zh-HK"/>
      </w:rPr>
      <w:t xml:space="preserve"> (</w:t>
    </w:r>
    <w:r w:rsidR="00417A68" w:rsidRPr="00417A68">
      <w:rPr>
        <w:color w:val="339966"/>
        <w:sz w:val="24"/>
        <w:szCs w:val="24"/>
        <w:lang w:eastAsia="zh-HK"/>
      </w:rPr>
      <w:t>December</w:t>
    </w:r>
    <w:r w:rsidRPr="00417A68">
      <w:rPr>
        <w:color w:val="339966"/>
        <w:sz w:val="24"/>
        <w:szCs w:val="24"/>
        <w:lang w:eastAsia="zh-HK"/>
      </w:rPr>
      <w:t xml:space="preserve"> 2020</w:t>
    </w:r>
    <w:r w:rsidRPr="00417A68">
      <w:rPr>
        <w:rFonts w:hint="eastAsia"/>
        <w:color w:val="339966"/>
        <w:sz w:val="24"/>
        <w:szCs w:val="24"/>
        <w:lang w:eastAsia="zh-HK"/>
      </w:rPr>
      <w:t>)</w:t>
    </w:r>
    <w:r w:rsidRPr="00417A68">
      <w:rPr>
        <w:rFonts w:hint="eastAsia"/>
        <w:color w:val="339966"/>
        <w:sz w:val="24"/>
        <w:szCs w:val="24"/>
      </w:rPr>
      <w:tab/>
    </w:r>
    <w:r w:rsidR="00417A68" w:rsidRPr="00417A68">
      <w:rPr>
        <w:bCs/>
        <w:color w:val="339966"/>
        <w:sz w:val="24"/>
        <w:szCs w:val="24"/>
      </w:rPr>
      <w:fldChar w:fldCharType="begin"/>
    </w:r>
    <w:r w:rsidR="00417A68" w:rsidRPr="00417A68">
      <w:rPr>
        <w:bCs/>
        <w:color w:val="339966"/>
        <w:sz w:val="24"/>
        <w:szCs w:val="24"/>
      </w:rPr>
      <w:instrText>PAGE</w:instrText>
    </w:r>
    <w:r w:rsidR="00417A68" w:rsidRPr="00417A68">
      <w:rPr>
        <w:bCs/>
        <w:color w:val="339966"/>
        <w:sz w:val="24"/>
        <w:szCs w:val="24"/>
      </w:rPr>
      <w:fldChar w:fldCharType="separate"/>
    </w:r>
    <w:r w:rsidR="002D7BCF">
      <w:rPr>
        <w:bCs/>
        <w:noProof/>
        <w:color w:val="339966"/>
        <w:sz w:val="24"/>
        <w:szCs w:val="24"/>
      </w:rPr>
      <w:t>1</w:t>
    </w:r>
    <w:r w:rsidR="00417A68" w:rsidRPr="00417A68">
      <w:rPr>
        <w:bCs/>
        <w:color w:val="339966"/>
        <w:sz w:val="24"/>
        <w:szCs w:val="24"/>
      </w:rPr>
      <w:fldChar w:fldCharType="end"/>
    </w:r>
    <w:r w:rsidR="00417A68" w:rsidRPr="00417A68">
      <w:rPr>
        <w:color w:val="339966"/>
        <w:sz w:val="24"/>
        <w:szCs w:val="24"/>
        <w:lang w:val="en-US"/>
      </w:rPr>
      <w:t xml:space="preserve"> </w:t>
    </w:r>
    <w:r w:rsidR="00417A68" w:rsidRPr="00417A68">
      <w:rPr>
        <w:color w:val="339966"/>
        <w:sz w:val="24"/>
        <w:szCs w:val="24"/>
        <w:lang w:val="en-US" w:eastAsia="zh-HK"/>
      </w:rPr>
      <w:t>of</w:t>
    </w:r>
    <w:r w:rsidR="00417A68" w:rsidRPr="00417A68">
      <w:rPr>
        <w:color w:val="339966"/>
        <w:sz w:val="24"/>
        <w:szCs w:val="24"/>
        <w:lang w:val="en-US"/>
      </w:rPr>
      <w:t xml:space="preserve"> </w:t>
    </w:r>
    <w:r w:rsidR="00417A68" w:rsidRPr="00417A68">
      <w:rPr>
        <w:bCs/>
        <w:color w:val="339966"/>
        <w:sz w:val="24"/>
        <w:szCs w:val="24"/>
      </w:rPr>
      <w:fldChar w:fldCharType="begin"/>
    </w:r>
    <w:r w:rsidR="00417A68" w:rsidRPr="00417A68">
      <w:rPr>
        <w:bCs/>
        <w:color w:val="339966"/>
        <w:sz w:val="24"/>
        <w:szCs w:val="24"/>
      </w:rPr>
      <w:instrText xml:space="preserve"> SECTIONPAGES  </w:instrText>
    </w:r>
    <w:r w:rsidR="00417A68" w:rsidRPr="00417A68">
      <w:rPr>
        <w:bCs/>
        <w:color w:val="339966"/>
        <w:sz w:val="24"/>
        <w:szCs w:val="24"/>
      </w:rPr>
      <w:fldChar w:fldCharType="separate"/>
    </w:r>
    <w:r w:rsidR="002D7BCF">
      <w:rPr>
        <w:bCs/>
        <w:noProof/>
        <w:color w:val="339966"/>
        <w:sz w:val="24"/>
        <w:szCs w:val="24"/>
      </w:rPr>
      <w:t>4</w:t>
    </w:r>
    <w:r w:rsidR="00417A68" w:rsidRPr="00417A68">
      <w:rPr>
        <w:bCs/>
        <w:color w:val="339966"/>
        <w:sz w:val="24"/>
        <w:szCs w:val="24"/>
      </w:rPr>
      <w:fldChar w:fldCharType="end"/>
    </w:r>
    <w:r w:rsidR="00417A68" w:rsidRPr="00417A68">
      <w:rPr>
        <w:color w:val="339966"/>
        <w:sz w:val="24"/>
        <w:szCs w:val="24"/>
      </w:rPr>
      <w:tab/>
    </w:r>
    <w:r w:rsidRPr="00417A68">
      <w:rPr>
        <w:rFonts w:hint="eastAsia"/>
        <w:color w:val="339966"/>
        <w:sz w:val="24"/>
        <w:szCs w:val="24"/>
      </w:rPr>
      <w:t xml:space="preserve">App. </w:t>
    </w:r>
    <w:r w:rsidR="008B1AE3" w:rsidRPr="00417A68">
      <w:rPr>
        <w:color w:val="339966"/>
        <w:sz w:val="24"/>
        <w:szCs w:val="24"/>
      </w:rPr>
      <w:t>3.20</w:t>
    </w:r>
    <w:r w:rsidR="000F002F" w:rsidRPr="00417A68">
      <w:rPr>
        <w:color w:val="339966"/>
        <w:sz w:val="24"/>
        <w:szCs w:val="24"/>
      </w:rPr>
      <w:t>J</w:t>
    </w:r>
  </w:p>
  <w:p w14:paraId="5B74B1E4" w14:textId="77777777" w:rsidR="00F25218" w:rsidRPr="00417A68" w:rsidRDefault="00F252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DDA25" w14:textId="77777777" w:rsidR="00CD7E95" w:rsidRDefault="00CD7E95">
      <w:r>
        <w:separator/>
      </w:r>
    </w:p>
  </w:footnote>
  <w:footnote w:type="continuationSeparator" w:id="0">
    <w:p w14:paraId="369975FB" w14:textId="77777777" w:rsidR="00CD7E95" w:rsidRDefault="00CD7E95">
      <w:r>
        <w:continuationSeparator/>
      </w:r>
    </w:p>
  </w:footnote>
  <w:footnote w:type="continuationNotice" w:id="1">
    <w:p w14:paraId="70521FAF" w14:textId="77777777" w:rsidR="00CD7E95" w:rsidRDefault="00CD7E9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9533EB"/>
    <w:multiLevelType w:val="hybridMultilevel"/>
    <w:tmpl w:val="C7DC01A0"/>
    <w:lvl w:ilvl="0" w:tplc="783ADB22">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694805"/>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5" w15:restartNumberingAfterBreak="0">
    <w:nsid w:val="0CFD6782"/>
    <w:multiLevelType w:val="hybridMultilevel"/>
    <w:tmpl w:val="BB96226C"/>
    <w:lvl w:ilvl="0" w:tplc="53045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2"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3"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4" w15:restartNumberingAfterBreak="0">
    <w:nsid w:val="24922FA4"/>
    <w:multiLevelType w:val="multilevel"/>
    <w:tmpl w:val="8F54032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auto"/>
      </w:rPr>
    </w:lvl>
    <w:lvl w:ilvl="2">
      <w:start w:val="1"/>
      <w:numFmt w:val="decimal"/>
      <w:lvlText w:val="%1.%2.%3"/>
      <w:lvlJc w:val="left"/>
      <w:pPr>
        <w:ind w:left="709" w:hanging="709"/>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15:restartNumberingAfterBreak="0">
    <w:nsid w:val="39EE272F"/>
    <w:multiLevelType w:val="hybridMultilevel"/>
    <w:tmpl w:val="EC983C58"/>
    <w:lvl w:ilvl="0" w:tplc="C884FA3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7" w15:restartNumberingAfterBreak="0">
    <w:nsid w:val="3ECE1532"/>
    <w:multiLevelType w:val="hybridMultilevel"/>
    <w:tmpl w:val="4D7E3C3A"/>
    <w:lvl w:ilvl="0" w:tplc="FEB647BE">
      <w:start w:val="1"/>
      <w:numFmt w:val="lowerLetter"/>
      <w:lvlText w:val="(%1)"/>
      <w:lvlJc w:val="left"/>
      <w:pPr>
        <w:ind w:left="845" w:hanging="360"/>
      </w:pPr>
      <w:rPr>
        <w:rFonts w:ascii="Times New Roman" w:hAnsi="Times New Roman" w:cs="Times New Roman" w:hint="default"/>
        <w:color w:val="339966"/>
        <w:sz w:val="20"/>
        <w:szCs w:val="20"/>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28" w15:restartNumberingAfterBreak="0">
    <w:nsid w:val="42F27434"/>
    <w:multiLevelType w:val="hybridMultilevel"/>
    <w:tmpl w:val="290AC692"/>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9"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0"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2" w15:restartNumberingAfterBreak="0">
    <w:nsid w:val="5577059B"/>
    <w:multiLevelType w:val="hybridMultilevel"/>
    <w:tmpl w:val="8EAA7450"/>
    <w:lvl w:ilvl="0" w:tplc="CACC8468">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3" w15:restartNumberingAfterBreak="0">
    <w:nsid w:val="55C36D4A"/>
    <w:multiLevelType w:val="hybridMultilevel"/>
    <w:tmpl w:val="E8301D2C"/>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4"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5"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CC2BDE"/>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DCF0CD1"/>
    <w:multiLevelType w:val="multilevel"/>
    <w:tmpl w:val="7B98E1BC"/>
    <w:styleLink w:val="1"/>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auto"/>
      </w:rPr>
    </w:lvl>
    <w:lvl w:ilvl="2">
      <w:start w:val="1"/>
      <w:numFmt w:val="decimal"/>
      <w:lvlText w:val="%1.%2.%3"/>
      <w:lvlJc w:val="left"/>
      <w:pPr>
        <w:ind w:left="709" w:hanging="709"/>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8" w15:restartNumberingAfterBreak="0">
    <w:nsid w:val="63E3418A"/>
    <w:multiLevelType w:val="multilevel"/>
    <w:tmpl w:val="DE90D66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339966"/>
      </w:rPr>
    </w:lvl>
    <w:lvl w:ilvl="2">
      <w:start w:val="1"/>
      <w:numFmt w:val="decimal"/>
      <w:lvlText w:val="%1.%2.%3"/>
      <w:lvlJc w:val="left"/>
      <w:pPr>
        <w:ind w:left="709" w:hanging="709"/>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9"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0" w15:restartNumberingAfterBreak="0">
    <w:nsid w:val="6C4B4F23"/>
    <w:multiLevelType w:val="multilevel"/>
    <w:tmpl w:val="0AEC808E"/>
    <w:lvl w:ilvl="0">
      <w:start w:val="5"/>
      <w:numFmt w:val="decimal"/>
      <w:lvlText w:val="%1."/>
      <w:lvlJc w:val="left"/>
      <w:pPr>
        <w:tabs>
          <w:tab w:val="num" w:pos="1134"/>
        </w:tabs>
        <w:ind w:left="1134" w:hanging="1134"/>
      </w:pPr>
      <w:rPr>
        <w:rFonts w:ascii="Times New Roman" w:hAnsi="Times New Roman" w:hint="default"/>
        <w:b/>
        <w:i w:val="0"/>
        <w:kern w:val="24"/>
        <w:sz w:val="24"/>
        <w:u w:val="none"/>
      </w:rPr>
    </w:lvl>
    <w:lvl w:ilvl="1">
      <w:start w:val="1"/>
      <w:numFmt w:val="decimal"/>
      <w:lvlText w:val="%1.%2"/>
      <w:lvlJc w:val="left"/>
      <w:pPr>
        <w:tabs>
          <w:tab w:val="num" w:pos="1134"/>
        </w:tabs>
        <w:ind w:left="1134" w:hanging="1134"/>
      </w:pPr>
      <w:rPr>
        <w:rFonts w:ascii="Times New Roman" w:hAnsi="Times New Roman" w:hint="default"/>
        <w:b/>
        <w:i w:val="0"/>
        <w:kern w:val="24"/>
        <w:sz w:val="24"/>
        <w:u w:val="none"/>
      </w:rPr>
    </w:lvl>
    <w:lvl w:ilvl="2">
      <w:start w:val="1"/>
      <w:numFmt w:val="decimal"/>
      <w:lvlText w:val="%1.%2.%3"/>
      <w:lvlJc w:val="left"/>
      <w:pPr>
        <w:tabs>
          <w:tab w:val="num" w:pos="1134"/>
        </w:tabs>
        <w:ind w:left="1134" w:hanging="1134"/>
      </w:pPr>
      <w:rPr>
        <w:rFonts w:ascii="Times New Roman" w:hAnsi="Times New Roman" w:hint="default"/>
        <w:b/>
        <w:i w:val="0"/>
        <w:kern w:val="24"/>
        <w:sz w:val="24"/>
        <w:u w:val="none"/>
      </w:rPr>
    </w:lvl>
    <w:lvl w:ilvl="3">
      <w:start w:val="1"/>
      <w:numFmt w:val="decimal"/>
      <w:lvlText w:val="%1.%2.%3.%4"/>
      <w:lvlJc w:val="left"/>
      <w:pPr>
        <w:tabs>
          <w:tab w:val="num" w:pos="1134"/>
        </w:tabs>
        <w:ind w:left="1134" w:hanging="1134"/>
      </w:pPr>
      <w:rPr>
        <w:rFonts w:ascii="Times New Roman" w:eastAsia="新細明體" w:hAnsi="Times New Roman" w:cs="Times New Roman" w:hint="default"/>
      </w:rPr>
    </w:lvl>
    <w:lvl w:ilvl="4">
      <w:start w:val="1"/>
      <w:numFmt w:val="none"/>
      <w:lvlText w:val=""/>
      <w:lvlJc w:val="left"/>
      <w:pPr>
        <w:tabs>
          <w:tab w:val="num" w:pos="1134"/>
        </w:tabs>
        <w:ind w:left="1134" w:firstLine="0"/>
      </w:pPr>
      <w:rPr>
        <w:rFonts w:hint="eastAsia"/>
        <w:color w:val="auto"/>
        <w:lang w:val="en-US"/>
      </w:rPr>
    </w:lvl>
    <w:lvl w:ilvl="5">
      <w:start w:val="1"/>
      <w:numFmt w:val="lowerLetter"/>
      <w:lvlText w:val="(%6)"/>
      <w:lvlJc w:val="left"/>
      <w:pPr>
        <w:tabs>
          <w:tab w:val="num" w:pos="1701"/>
        </w:tabs>
        <w:ind w:left="1701" w:hanging="567"/>
      </w:pPr>
      <w:rPr>
        <w:rFonts w:ascii="Times New Roman" w:hAnsi="Times New Roman" w:hint="default"/>
        <w:b w:val="0"/>
        <w:i w:val="0"/>
        <w:sz w:val="24"/>
      </w:rPr>
    </w:lvl>
    <w:lvl w:ilvl="6">
      <w:start w:val="1"/>
      <w:numFmt w:val="lowerRoman"/>
      <w:lvlText w:val="(%7)"/>
      <w:lvlJc w:val="left"/>
      <w:pPr>
        <w:tabs>
          <w:tab w:val="num" w:pos="2268"/>
        </w:tabs>
        <w:ind w:left="2268" w:hanging="567"/>
      </w:pPr>
      <w:rPr>
        <w:rFonts w:ascii="Times New Roman" w:hAnsi="Times New Roman" w:hint="default"/>
        <w:color w:val="339966"/>
        <w:sz w:val="24"/>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1" w15:restartNumberingAfterBreak="0">
    <w:nsid w:val="6D732440"/>
    <w:multiLevelType w:val="multilevel"/>
    <w:tmpl w:val="7B98E1BC"/>
    <w:numStyleLink w:val="1"/>
  </w:abstractNum>
  <w:abstractNum w:abstractNumId="42"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43"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45"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29"/>
  </w:num>
  <w:num w:numId="13">
    <w:abstractNumId w:val="20"/>
  </w:num>
  <w:num w:numId="14">
    <w:abstractNumId w:val="21"/>
  </w:num>
  <w:num w:numId="15">
    <w:abstractNumId w:val="16"/>
  </w:num>
  <w:num w:numId="16">
    <w:abstractNumId w:val="45"/>
  </w:num>
  <w:num w:numId="17">
    <w:abstractNumId w:val="39"/>
  </w:num>
  <w:num w:numId="18">
    <w:abstractNumId w:val="11"/>
  </w:num>
  <w:num w:numId="19">
    <w:abstractNumId w:val="17"/>
  </w:num>
  <w:num w:numId="20">
    <w:abstractNumId w:val="35"/>
  </w:num>
  <w:num w:numId="21">
    <w:abstractNumId w:val="26"/>
  </w:num>
  <w:num w:numId="22">
    <w:abstractNumId w:val="10"/>
  </w:num>
  <w:num w:numId="23">
    <w:abstractNumId w:val="31"/>
  </w:num>
  <w:num w:numId="24">
    <w:abstractNumId w:val="42"/>
  </w:num>
  <w:num w:numId="25">
    <w:abstractNumId w:val="34"/>
  </w:num>
  <w:num w:numId="26">
    <w:abstractNumId w:val="22"/>
  </w:num>
  <w:num w:numId="27">
    <w:abstractNumId w:val="14"/>
  </w:num>
  <w:num w:numId="28">
    <w:abstractNumId w:val="19"/>
  </w:num>
  <w:num w:numId="29">
    <w:abstractNumId w:val="43"/>
  </w:num>
  <w:num w:numId="30">
    <w:abstractNumId w:val="23"/>
  </w:num>
  <w:num w:numId="31">
    <w:abstractNumId w:val="30"/>
  </w:num>
  <w:num w:numId="32">
    <w:abstractNumId w:val="12"/>
  </w:num>
  <w:num w:numId="33">
    <w:abstractNumId w:val="36"/>
  </w:num>
  <w:num w:numId="34">
    <w:abstractNumId w:val="13"/>
  </w:num>
  <w:num w:numId="35">
    <w:abstractNumId w:val="18"/>
  </w:num>
  <w:num w:numId="36">
    <w:abstractNumId w:val="28"/>
  </w:num>
  <w:num w:numId="37">
    <w:abstractNumId w:val="15"/>
  </w:num>
  <w:num w:numId="38">
    <w:abstractNumId w:val="25"/>
  </w:num>
  <w:num w:numId="39">
    <w:abstractNumId w:val="32"/>
  </w:num>
  <w:num w:numId="40">
    <w:abstractNumId w:val="27"/>
  </w:num>
  <w:num w:numId="41">
    <w:abstractNumId w:val="33"/>
  </w:num>
  <w:num w:numId="42">
    <w:abstractNumId w:val="40"/>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41"/>
    <w:lvlOverride w:ilvl="1">
      <w:lvl w:ilvl="1">
        <w:start w:val="1"/>
        <w:numFmt w:val="decimal"/>
        <w:lvlText w:val="%1.%2"/>
        <w:lvlJc w:val="left"/>
        <w:pPr>
          <w:ind w:left="567" w:hanging="567"/>
        </w:pPr>
        <w:rPr>
          <w:rFonts w:hint="eastAsia"/>
          <w:color w:val="339966"/>
        </w:rPr>
      </w:lvl>
    </w:lvlOverride>
  </w:num>
  <w:num w:numId="48">
    <w:abstractNumId w:val="38"/>
  </w:num>
  <w:num w:numId="49">
    <w:abstractNumId w:val="24"/>
  </w:num>
  <w:num w:numId="50">
    <w:abstractNumId w:val="24"/>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hint="eastAsia"/>
          <w:color w:val="339966"/>
        </w:rPr>
      </w:lvl>
    </w:lvlOverride>
    <w:lvlOverride w:ilvl="2">
      <w:lvl w:ilvl="2">
        <w:start w:val="1"/>
        <w:numFmt w:val="decimal"/>
        <w:lvlText w:val="%1.%2.%3"/>
        <w:lvlJc w:val="left"/>
        <w:pPr>
          <w:ind w:left="709" w:hanging="709"/>
        </w:pPr>
        <w:rPr>
          <w:rFonts w:hint="eastAsia"/>
          <w:color w:val="auto"/>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766F8"/>
    <w:rsid w:val="0008146A"/>
    <w:rsid w:val="000816B1"/>
    <w:rsid w:val="00086BAE"/>
    <w:rsid w:val="00086D22"/>
    <w:rsid w:val="00093027"/>
    <w:rsid w:val="00097B07"/>
    <w:rsid w:val="000A2FD2"/>
    <w:rsid w:val="000A3957"/>
    <w:rsid w:val="000A3FB2"/>
    <w:rsid w:val="000A6593"/>
    <w:rsid w:val="000B09AA"/>
    <w:rsid w:val="000B1723"/>
    <w:rsid w:val="000B628E"/>
    <w:rsid w:val="000C770C"/>
    <w:rsid w:val="000E19F1"/>
    <w:rsid w:val="000E7FD6"/>
    <w:rsid w:val="000F002F"/>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404B6"/>
    <w:rsid w:val="002463D7"/>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BCF"/>
    <w:rsid w:val="002D7E51"/>
    <w:rsid w:val="00300269"/>
    <w:rsid w:val="00303DE7"/>
    <w:rsid w:val="0030413F"/>
    <w:rsid w:val="00304D37"/>
    <w:rsid w:val="00314AEE"/>
    <w:rsid w:val="00314DE0"/>
    <w:rsid w:val="00315442"/>
    <w:rsid w:val="00320BC3"/>
    <w:rsid w:val="0032672C"/>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17A68"/>
    <w:rsid w:val="00423399"/>
    <w:rsid w:val="00425873"/>
    <w:rsid w:val="00426F71"/>
    <w:rsid w:val="004361FB"/>
    <w:rsid w:val="00441172"/>
    <w:rsid w:val="00443EF6"/>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56E1E"/>
    <w:rsid w:val="005646EC"/>
    <w:rsid w:val="0056474E"/>
    <w:rsid w:val="00566DD6"/>
    <w:rsid w:val="005726C6"/>
    <w:rsid w:val="00572ACE"/>
    <w:rsid w:val="00581821"/>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1239"/>
    <w:rsid w:val="00645C30"/>
    <w:rsid w:val="00647F68"/>
    <w:rsid w:val="00651506"/>
    <w:rsid w:val="00651D18"/>
    <w:rsid w:val="00653E42"/>
    <w:rsid w:val="00654ED3"/>
    <w:rsid w:val="006655DE"/>
    <w:rsid w:val="00681552"/>
    <w:rsid w:val="00681CBD"/>
    <w:rsid w:val="00687426"/>
    <w:rsid w:val="00690DB0"/>
    <w:rsid w:val="0069249C"/>
    <w:rsid w:val="00694E47"/>
    <w:rsid w:val="006B0827"/>
    <w:rsid w:val="006B3CB2"/>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6728"/>
    <w:rsid w:val="0096764D"/>
    <w:rsid w:val="009676ED"/>
    <w:rsid w:val="0097158F"/>
    <w:rsid w:val="0097474C"/>
    <w:rsid w:val="0098094C"/>
    <w:rsid w:val="00981608"/>
    <w:rsid w:val="00984476"/>
    <w:rsid w:val="009874EF"/>
    <w:rsid w:val="00991776"/>
    <w:rsid w:val="009C50B5"/>
    <w:rsid w:val="009E0451"/>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D7E95"/>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87D19"/>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0">
    <w:name w:val="heading 1"/>
    <w:basedOn w:val="a1"/>
    <w:next w:val="a1"/>
    <w:qFormat/>
    <w:pPr>
      <w:keepNext/>
      <w:ind w:left="720" w:right="612"/>
      <w:jc w:val="center"/>
      <w:outlineLvl w:val="0"/>
    </w:pPr>
    <w:rPr>
      <w:b/>
      <w:sz w:val="28"/>
      <w:lang w:val="en-US"/>
    </w:rPr>
  </w:style>
  <w:style w:type="paragraph" w:styleId="21">
    <w:name w:val="heading 2"/>
    <w:aliases w:val="Title: X.X"/>
    <w:basedOn w:val="a1"/>
    <w:next w:val="a2"/>
    <w:qFormat/>
    <w:pPr>
      <w:keepNext/>
      <w:spacing w:before="156" w:line="240" w:lineRule="atLeast"/>
      <w:outlineLvl w:val="1"/>
    </w:pPr>
    <w:rPr>
      <w:b/>
      <w:i/>
      <w:sz w:val="23"/>
    </w:rPr>
  </w:style>
  <w:style w:type="paragraph" w:styleId="31">
    <w:name w:val="heading 3"/>
    <w:aliases w:val="Title: X.X.X"/>
    <w:basedOn w:val="a1"/>
    <w:next w:val="a2"/>
    <w:qFormat/>
    <w:pPr>
      <w:keepNext/>
      <w:spacing w:before="240" w:line="240" w:lineRule="atLeast"/>
      <w:ind w:right="-101"/>
      <w:outlineLvl w:val="2"/>
    </w:pPr>
    <w:rPr>
      <w:b/>
      <w:i/>
      <w:sz w:val="23"/>
    </w:rPr>
  </w:style>
  <w:style w:type="paragraph" w:styleId="41">
    <w:name w:val="heading 4"/>
    <w:aliases w:val="Title: X.X.X.X"/>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link w:val="aa"/>
    <w:uiPriority w:val="99"/>
    <w:pPr>
      <w:tabs>
        <w:tab w:val="center" w:pos="4320"/>
        <w:tab w:val="right" w:pos="8640"/>
      </w:tabs>
    </w:pPr>
  </w:style>
  <w:style w:type="paragraph" w:styleId="a2">
    <w:name w:val="Normal Indent"/>
    <w:basedOn w:val="a1"/>
    <w:pPr>
      <w:ind w:left="480"/>
    </w:pPr>
  </w:style>
  <w:style w:type="paragraph" w:styleId="ab">
    <w:name w:val="Block Text"/>
    <w:basedOn w:val="a1"/>
    <w:pPr>
      <w:tabs>
        <w:tab w:val="left" w:pos="2160"/>
      </w:tabs>
      <w:ind w:left="720" w:right="612"/>
      <w:jc w:val="both"/>
    </w:pPr>
    <w:rPr>
      <w:sz w:val="28"/>
    </w:rPr>
  </w:style>
  <w:style w:type="paragraph" w:styleId="ac">
    <w:name w:val="Plain Text"/>
    <w:basedOn w:val="a1"/>
    <w:rPr>
      <w:rFonts w:ascii="細明體" w:hAnsi="Courier New"/>
      <w:sz w:val="24"/>
    </w:rPr>
  </w:style>
  <w:style w:type="paragraph" w:styleId="ad">
    <w:name w:val="Document Map"/>
    <w:basedOn w:val="a1"/>
    <w:semiHidden/>
    <w:pPr>
      <w:shd w:val="clear" w:color="auto" w:fill="000080"/>
    </w:pPr>
    <w:rPr>
      <w:rFonts w:ascii="Arial" w:eastAsia="新細明體" w:hAnsi="Arial"/>
    </w:r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f">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0">
    <w:name w:val="Body Text First Indent"/>
    <w:basedOn w:val="af"/>
    <w:pPr>
      <w:ind w:firstLine="210"/>
    </w:pPr>
  </w:style>
  <w:style w:type="paragraph" w:styleId="af1">
    <w:name w:val="Body Text Indent"/>
    <w:basedOn w:val="a1"/>
    <w:pPr>
      <w:spacing w:after="120"/>
      <w:ind w:left="480"/>
    </w:pPr>
  </w:style>
  <w:style w:type="paragraph" w:styleId="23">
    <w:name w:val="Body Text First Indent 2"/>
    <w:basedOn w:val="af1"/>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1">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2">
    <w:name w:val="envelope address"/>
    <w:basedOn w:val="a1"/>
    <w:pPr>
      <w:framePr w:w="7920" w:h="1980" w:hRule="exact" w:hSpace="180" w:wrap="auto" w:hAnchor="page" w:xAlign="center" w:yAlign="bottom"/>
      <w:snapToGrid w:val="0"/>
      <w:ind w:left="2880"/>
    </w:pPr>
    <w:rPr>
      <w:rFonts w:ascii="Arial" w:hAnsi="Arial"/>
      <w:sz w:val="24"/>
    </w:rPr>
  </w:style>
  <w:style w:type="paragraph" w:styleId="af3">
    <w:name w:val="table of authorities"/>
    <w:basedOn w:val="a1"/>
    <w:next w:val="a1"/>
    <w:semiHidden/>
    <w:pPr>
      <w:ind w:left="480"/>
    </w:pPr>
  </w:style>
  <w:style w:type="paragraph" w:styleId="af4">
    <w:name w:val="toa heading"/>
    <w:basedOn w:val="a1"/>
    <w:next w:val="a1"/>
    <w:semiHidden/>
    <w:pPr>
      <w:spacing w:before="120"/>
    </w:pPr>
    <w:rPr>
      <w:rFonts w:ascii="Arial" w:eastAsia="新細明體" w:hAnsi="Arial"/>
      <w:sz w:val="24"/>
    </w:rPr>
  </w:style>
  <w:style w:type="paragraph" w:styleId="12">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5">
    <w:name w:val="index heading"/>
    <w:basedOn w:val="a1"/>
    <w:next w:val="12"/>
    <w:semiHidden/>
    <w:rPr>
      <w:rFonts w:ascii="Arial" w:hAnsi="Arial"/>
      <w:b/>
    </w:rPr>
  </w:style>
  <w:style w:type="paragraph" w:styleId="af6">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7">
    <w:name w:val="Subtitle"/>
    <w:basedOn w:val="a1"/>
    <w:qFormat/>
    <w:pPr>
      <w:spacing w:after="60"/>
      <w:jc w:val="center"/>
      <w:outlineLvl w:val="1"/>
    </w:pPr>
    <w:rPr>
      <w:rFonts w:ascii="Arial" w:eastAsia="新細明體" w:hAnsi="Arial"/>
      <w:i/>
      <w:sz w:val="24"/>
    </w:rPr>
  </w:style>
  <w:style w:type="paragraph" w:styleId="af8">
    <w:name w:val="Salutation"/>
    <w:basedOn w:val="a1"/>
    <w:next w:val="a1"/>
  </w:style>
  <w:style w:type="paragraph" w:styleId="af9">
    <w:name w:val="envelope return"/>
    <w:basedOn w:val="a1"/>
    <w:pPr>
      <w:snapToGrid w:val="0"/>
    </w:pPr>
    <w:rPr>
      <w:rFonts w:ascii="Arial" w:hAnsi="Arial"/>
    </w:rPr>
  </w:style>
  <w:style w:type="paragraph" w:styleId="afa">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b">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c">
    <w:name w:val="endnote text"/>
    <w:basedOn w:val="a1"/>
    <w:semiHidden/>
    <w:pPr>
      <w:snapToGrid w:val="0"/>
    </w:pPr>
  </w:style>
  <w:style w:type="paragraph" w:styleId="afd">
    <w:name w:val="Closing"/>
    <w:basedOn w:val="a1"/>
    <w:next w:val="a1"/>
    <w:pPr>
      <w:ind w:left="4320"/>
    </w:pPr>
  </w:style>
  <w:style w:type="paragraph" w:styleId="afe">
    <w:name w:val="footnote text"/>
    <w:basedOn w:val="a1"/>
    <w:link w:val="aff"/>
    <w:uiPriority w:val="99"/>
    <w:pPr>
      <w:snapToGrid w:val="0"/>
    </w:pPr>
  </w:style>
  <w:style w:type="paragraph" w:styleId="aff0">
    <w:name w:val="annotation text"/>
    <w:basedOn w:val="a1"/>
    <w:semiHidden/>
  </w:style>
  <w:style w:type="paragraph" w:styleId="aff1">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2">
    <w:name w:val="table of figures"/>
    <w:basedOn w:val="a1"/>
    <w:next w:val="a1"/>
    <w:semiHidden/>
    <w:pPr>
      <w:ind w:left="960" w:hanging="480"/>
    </w:pPr>
  </w:style>
  <w:style w:type="paragraph" w:styleId="aff3">
    <w:name w:val="caption"/>
    <w:basedOn w:val="a1"/>
    <w:next w:val="a1"/>
    <w:qFormat/>
    <w:pPr>
      <w:spacing w:before="120" w:after="120"/>
    </w:pPr>
  </w:style>
  <w:style w:type="paragraph" w:styleId="aff4">
    <w:name w:val="Signature"/>
    <w:basedOn w:val="a1"/>
    <w:pPr>
      <w:ind w:left="4320"/>
    </w:pPr>
  </w:style>
  <w:style w:type="table" w:styleId="aff5">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1"/>
    <w:link w:val="aff7"/>
    <w:uiPriority w:val="34"/>
    <w:qFormat/>
    <w:rsid w:val="00D462A7"/>
    <w:pPr>
      <w:ind w:leftChars="200" w:left="480"/>
    </w:pPr>
  </w:style>
  <w:style w:type="paragraph" w:styleId="aff8">
    <w:name w:val="Balloon Text"/>
    <w:basedOn w:val="a1"/>
    <w:link w:val="aff9"/>
    <w:rsid w:val="00482169"/>
    <w:rPr>
      <w:rFonts w:asciiTheme="majorHAnsi" w:eastAsiaTheme="majorEastAsia" w:hAnsiTheme="majorHAnsi" w:cstheme="majorBidi"/>
      <w:sz w:val="18"/>
      <w:szCs w:val="18"/>
    </w:rPr>
  </w:style>
  <w:style w:type="character" w:customStyle="1" w:styleId="aff9">
    <w:name w:val="註解方塊文字 字元"/>
    <w:basedOn w:val="a3"/>
    <w:link w:val="aff8"/>
    <w:rsid w:val="00482169"/>
    <w:rPr>
      <w:rFonts w:asciiTheme="majorHAnsi" w:eastAsiaTheme="majorEastAsia" w:hAnsiTheme="majorHAnsi" w:cstheme="majorBidi"/>
      <w:sz w:val="18"/>
      <w:szCs w:val="18"/>
      <w:lang w:val="en-GB"/>
    </w:rPr>
  </w:style>
  <w:style w:type="character" w:customStyle="1" w:styleId="aff7">
    <w:name w:val="清單段落 字元"/>
    <w:basedOn w:val="a3"/>
    <w:link w:val="aff6"/>
    <w:uiPriority w:val="34"/>
    <w:rsid w:val="0089739D"/>
    <w:rPr>
      <w:rFonts w:eastAsia="細明體"/>
      <w:lang w:val="en-GB"/>
    </w:rPr>
  </w:style>
  <w:style w:type="character" w:customStyle="1" w:styleId="aff">
    <w:name w:val="註腳文字 字元"/>
    <w:basedOn w:val="a3"/>
    <w:link w:val="afe"/>
    <w:uiPriority w:val="99"/>
    <w:rsid w:val="00086D22"/>
    <w:rPr>
      <w:rFonts w:eastAsia="細明體"/>
      <w:lang w:val="en-GB"/>
    </w:rPr>
  </w:style>
  <w:style w:type="character" w:styleId="affa">
    <w:name w:val="footnote reference"/>
    <w:basedOn w:val="a3"/>
    <w:uiPriority w:val="99"/>
    <w:unhideWhenUsed/>
    <w:rsid w:val="00086D22"/>
    <w:rPr>
      <w:vertAlign w:val="superscript"/>
    </w:rPr>
  </w:style>
  <w:style w:type="table" w:customStyle="1" w:styleId="56">
    <w:name w:val="表格格線5"/>
    <w:basedOn w:val="a4"/>
    <w:next w:val="aff5"/>
    <w:uiPriority w:val="59"/>
    <w:rsid w:val="00086D2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443EF6"/>
    <w:pPr>
      <w:numPr>
        <w:numId w:val="46"/>
      </w:numPr>
    </w:pPr>
  </w:style>
  <w:style w:type="character" w:customStyle="1" w:styleId="aa">
    <w:name w:val="頁尾 字元"/>
    <w:basedOn w:val="a3"/>
    <w:link w:val="a9"/>
    <w:uiPriority w:val="99"/>
    <w:rsid w:val="00417A68"/>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59246-FE45-4CA8-87FA-A3CCC54FA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87</TotalTime>
  <Pages>4</Pages>
  <Words>1626</Words>
  <Characters>9273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28</cp:revision>
  <cp:lastPrinted>2020-12-28T06:52:00Z</cp:lastPrinted>
  <dcterms:created xsi:type="dcterms:W3CDTF">2017-01-09T03:51:00Z</dcterms:created>
  <dcterms:modified xsi:type="dcterms:W3CDTF">2020-12-28T06:52:00Z</dcterms:modified>
</cp:coreProperties>
</file>